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2918220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2918220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2918220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покр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ащення матеріально-технічного забезпечення військових частин та установ, які дислокуються на території Чернігівської області, на 2024-2025 роки, затверджена розпорядженням начальника Чернігівської обласної військової адміністрації  від 01 грудня 2023 № 795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Програми покращення матеріально-технічного забезпечення військових частин та установ, які дислокуються на території Чернігівської області, на 2024-2025 роки 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1691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Style w:val="639"/>
              <w:pBdr/>
              <w:spacing/>
              <w:ind/>
              <w:rPr>
                <w:color w:val="auto"/>
              </w:rPr>
            </w:pPr>
            <w:r>
              <w:t xml:space="preserve">1.1. Придбан-ня матеріально-технічних засобів </w:t>
            </w:r>
            <w:r>
              <w:rPr>
                <w:color w:val="auto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107700,0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107700,0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71042,4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71042,4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Придбано </w:t>
            </w:r>
            <w:r>
              <w:rPr>
                <w:rFonts w:ascii="Times New Roman" w:hAnsi="Times New Roman"/>
                <w:bCs/>
                <w:lang w:val="uk-UA"/>
              </w:rPr>
              <w:t xml:space="preserve">понад </w:t>
            </w:r>
            <w:r>
              <w:rPr>
                <w:rFonts w:ascii="Times New Roman" w:hAnsi="Times New Roman"/>
                <w:bCs/>
                <w:lang w:val="uk-UA"/>
              </w:rPr>
              <w:t xml:space="preserve">80</w:t>
            </w:r>
            <w:r>
              <w:rPr>
                <w:rFonts w:ascii="Times New Roman" w:hAnsi="Times New Roman"/>
                <w:bCs/>
                <w:lang w:val="uk-UA"/>
              </w:rPr>
              <w:t xml:space="preserve">00</w:t>
            </w:r>
            <w:r>
              <w:rPr>
                <w:rFonts w:ascii="Times New Roman" w:hAnsi="Times New Roman"/>
                <w:bCs/>
                <w:lang w:val="uk-UA"/>
              </w:rPr>
              <w:t xml:space="preserve"> одиниць технічних засобів та обладнання</w:t>
            </w:r>
            <w:r>
              <w:rPr>
                <w:rFonts w:ascii="Times New Roman" w:hAnsi="Times New Roman"/>
                <w:bCs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510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3.1.Здійснення заходів з капітального будівництва військових об’єктів, будівель, споруд, у тому числі інженерно-технічних споруд, придбання готових будівельних конструкцій для потреб оборони</w:t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800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800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22177,0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22177,0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Закінчено </w:t>
            </w:r>
            <w:r>
              <w:rPr>
                <w:rFonts w:ascii="Times New Roman" w:hAnsi="Times New Roman"/>
                <w:lang w:val="uk-UA"/>
              </w:rPr>
              <w:t xml:space="preserve">капітальне будівництво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військов</w:t>
            </w:r>
            <w:r>
              <w:rPr>
                <w:rFonts w:ascii="Times New Roman" w:hAnsi="Times New Roman"/>
                <w:lang w:val="uk-UA"/>
              </w:rPr>
              <w:t xml:space="preserve">ого</w:t>
            </w:r>
            <w:r>
              <w:rPr>
                <w:rFonts w:ascii="Times New Roman" w:hAnsi="Times New Roman"/>
                <w:lang w:val="uk-UA"/>
              </w:rPr>
              <w:t xml:space="preserve"> об’єкт</w:t>
            </w:r>
            <w:r>
              <w:rPr>
                <w:rFonts w:ascii="Times New Roman" w:hAnsi="Times New Roman"/>
                <w:lang w:val="uk-UA"/>
              </w:rPr>
              <w:t xml:space="preserve">у</w:t>
            </w:r>
            <w:r>
              <w:rPr>
                <w:rFonts w:ascii="Times New Roman" w:hAnsi="Times New Roman"/>
                <w:lang w:val="uk-UA"/>
              </w:rPr>
              <w:t xml:space="preserve">, будівл</w:t>
            </w:r>
            <w:r>
              <w:rPr>
                <w:rFonts w:ascii="Times New Roman" w:hAnsi="Times New Roman"/>
                <w:lang w:val="uk-UA"/>
              </w:rPr>
              <w:t xml:space="preserve">і</w:t>
            </w:r>
            <w:r>
              <w:rPr>
                <w:rFonts w:ascii="Times New Roman" w:hAnsi="Times New Roman"/>
                <w:lang w:val="uk-UA"/>
              </w:rPr>
              <w:t xml:space="preserve">, споруд</w:t>
            </w:r>
            <w:r>
              <w:rPr>
                <w:rFonts w:ascii="Times New Roman" w:hAnsi="Times New Roman"/>
                <w:lang w:val="uk-UA"/>
              </w:rPr>
              <w:t xml:space="preserve">и</w:t>
            </w:r>
            <w:r>
              <w:rPr>
                <w:rFonts w:ascii="Times New Roman" w:hAnsi="Times New Roman"/>
                <w:lang w:val="uk-UA"/>
              </w:rPr>
              <w:t xml:space="preserve">, у тому числі інженерно-технічних споруд.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lang w:val="uk-UA"/>
              </w:rPr>
              <w:t xml:space="preserve">Придбано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lang w:val="uk-UA"/>
              </w:rPr>
              <w:t xml:space="preserve">готові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lang w:val="uk-UA"/>
              </w:rPr>
              <w:t xml:space="preserve">будівельні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lang w:val="uk-UA"/>
              </w:rPr>
              <w:t xml:space="preserve">конструкції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lang w:val="uk-UA"/>
              </w:rPr>
              <w:t xml:space="preserve">для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lang w:val="uk-UA"/>
              </w:rPr>
              <w:t xml:space="preserve">потреб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lang w:val="uk-UA"/>
              </w:rPr>
              <w:t xml:space="preserve">оборони</w:t>
            </w:r>
            <w:r>
              <w:rPr>
                <w:rFonts w:ascii="Times New Roman" w:hAnsi="Times New Roman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highlight w:val="yellow"/>
          <w:lang w:val="uk-UA"/>
        </w:rPr>
      </w:pPr>
      <w:r>
        <w:rPr>
          <w:rFonts w:ascii="Times New Roman" w:hAnsi="Times New Roman"/>
          <w:color w:val="auto"/>
          <w:szCs w:val="24"/>
          <w:highlight w:val="yellow"/>
          <w:lang w:val="uk-UA"/>
        </w:rPr>
      </w:r>
      <w:r>
        <w:rPr>
          <w:rFonts w:ascii="Times New Roman" w:hAnsi="Times New Roman"/>
          <w:color w:val="auto"/>
          <w:szCs w:val="24"/>
          <w:highlight w:val="yellow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highlight w:val="yellow"/>
          <w:lang w:val="uk-UA"/>
        </w:rPr>
      </w:pPr>
      <w:r>
        <w:rPr>
          <w:rFonts w:ascii="Times New Roman" w:hAnsi="Times New Roman"/>
          <w:color w:val="auto"/>
          <w:szCs w:val="24"/>
          <w:highlight w:val="yellow"/>
          <w:lang w:val="uk-UA"/>
        </w:rPr>
      </w:r>
      <w:r>
        <w:rPr>
          <w:rFonts w:ascii="Times New Roman" w:hAnsi="Times New Roman"/>
          <w:color w:val="auto"/>
          <w:szCs w:val="24"/>
          <w:highlight w:val="yellow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>
        <w:trPr/>
        <w:tc>
          <w:tcPr>
            <w:gridSpan w:val="3"/>
            <w:tcBorders/>
            <w:tcW w:w="5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720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231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130500,0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*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0035,0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110465,0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93219,4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19675,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73544,3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37280,6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359,9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36920,7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Cs w:val="24"/>
          <w:highlight w:val="yellow"/>
          <w:lang w:val="uk-UA"/>
        </w:rPr>
      </w:pPr>
      <w:r>
        <w:rPr>
          <w:rFonts w:ascii="Times New Roman" w:hAnsi="Times New Roman"/>
          <w:szCs w:val="24"/>
          <w:highlight w:val="yellow"/>
          <w:lang w:val="uk-UA"/>
        </w:rPr>
      </w:r>
      <w:r>
        <w:rPr>
          <w:rFonts w:ascii="Times New Roman" w:hAnsi="Times New Roman"/>
          <w:szCs w:val="24"/>
          <w:highlight w:val="yellow"/>
          <w:lang w:val="uk-UA"/>
        </w:rPr>
      </w:r>
    </w:p>
    <w:p>
      <w:pPr>
        <w:pBdr/>
        <w:spacing/>
        <w:ind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*</w:t>
      </w:r>
      <w:r>
        <w:rPr>
          <w:rFonts w:hint="eastAsi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Крім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того</w:t>
      </w:r>
      <w:r>
        <w:rPr>
          <w:rFonts w:ascii="Times New Roman" w:hAnsi="Times New Roman"/>
          <w:szCs w:val="24"/>
          <w:lang w:val="uk-UA"/>
        </w:rPr>
        <w:t xml:space="preserve">, понад зазначену суму </w:t>
      </w:r>
      <w:r>
        <w:rPr>
          <w:rFonts w:hint="eastAsia" w:ascii="Times New Roman" w:hAnsi="Times New Roman"/>
          <w:szCs w:val="24"/>
          <w:lang w:val="uk-UA"/>
        </w:rPr>
        <w:t xml:space="preserve">у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рамках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виконанн</w:t>
      </w:r>
      <w:bookmarkStart w:id="0" w:name="_Hlk188350384"/>
      <w:r>
        <w:rPr>
          <w:rFonts w:hint="eastAsia" w:ascii="Times New Roman" w:hAnsi="Times New Roman"/>
          <w:szCs w:val="24"/>
          <w:lang w:val="uk-UA"/>
        </w:rPr>
        <w:t xml:space="preserve">я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Програми </w:t>
      </w:r>
      <w:bookmarkEnd w:id="0"/>
      <w:r>
        <w:rPr>
          <w:rFonts w:ascii="Times New Roman" w:hAnsi="Times New Roman"/>
          <w:szCs w:val="24"/>
          <w:lang w:val="uk-UA"/>
        </w:rPr>
        <w:t xml:space="preserve">військовим частинам </w:t>
      </w:r>
      <w:r>
        <w:rPr>
          <w:rFonts w:hint="eastAsia" w:ascii="Times New Roman" w:hAnsi="Times New Roman"/>
          <w:szCs w:val="24"/>
          <w:lang w:val="uk-UA"/>
        </w:rPr>
        <w:t xml:space="preserve">була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надана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субвенція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з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обласного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бюджету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державному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бюджету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н</w:t>
      </w:r>
      <w:r>
        <w:rPr>
          <w:rFonts w:ascii="Times New Roman" w:hAnsi="Times New Roman"/>
          <w:szCs w:val="24"/>
          <w:lang w:val="uk-UA"/>
        </w:rPr>
        <w:t xml:space="preserve">а загальну </w:t>
      </w:r>
      <w:r>
        <w:rPr>
          <w:rFonts w:hint="eastAsia" w:ascii="Times New Roman" w:hAnsi="Times New Roman"/>
          <w:szCs w:val="24"/>
          <w:lang w:val="uk-UA"/>
        </w:rPr>
        <w:t xml:space="preserve">суму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7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5</w:t>
      </w:r>
      <w:r>
        <w:rPr>
          <w:rFonts w:ascii="Times New Roman" w:hAnsi="Times New Roman"/>
          <w:szCs w:val="24"/>
          <w:lang w:val="uk-UA"/>
        </w:rPr>
        <w:t xml:space="preserve">00,0 </w:t>
      </w:r>
      <w:r>
        <w:rPr>
          <w:rFonts w:hint="eastAsia" w:ascii="Times New Roman" w:hAnsi="Times New Roman"/>
          <w:szCs w:val="24"/>
          <w:lang w:val="uk-UA"/>
        </w:rPr>
        <w:t xml:space="preserve">тис</w:t>
      </w:r>
      <w:r>
        <w:rPr>
          <w:rFonts w:ascii="Times New Roman" w:hAnsi="Times New Roman"/>
          <w:szCs w:val="24"/>
          <w:lang w:val="uk-UA"/>
        </w:rPr>
        <w:t xml:space="preserve">. </w:t>
      </w:r>
      <w:r>
        <w:rPr>
          <w:rFonts w:hint="eastAsia" w:ascii="Times New Roman" w:hAnsi="Times New Roman"/>
          <w:szCs w:val="24"/>
          <w:lang w:val="uk-UA"/>
        </w:rPr>
        <w:t xml:space="preserve">грн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на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закупівлю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матеріально</w:t>
      </w:r>
      <w:r>
        <w:rPr>
          <w:rFonts w:ascii="Times New Roman" w:hAnsi="Times New Roman"/>
          <w:szCs w:val="24"/>
          <w:lang w:val="uk-UA"/>
        </w:rPr>
        <w:t xml:space="preserve">-</w:t>
      </w:r>
      <w:r>
        <w:rPr>
          <w:rFonts w:hint="eastAsia" w:ascii="Times New Roman" w:hAnsi="Times New Roman"/>
          <w:szCs w:val="24"/>
          <w:lang w:val="uk-UA"/>
        </w:rPr>
        <w:t xml:space="preserve">технічних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засобів</w:t>
      </w:r>
      <w:r>
        <w:rPr>
          <w:rFonts w:ascii="Times New Roman" w:hAnsi="Times New Roman"/>
          <w:szCs w:val="24"/>
          <w:lang w:val="uk-UA"/>
        </w:rPr>
        <w:t xml:space="preserve">.</w:t>
      </w:r>
      <w:r>
        <w:rPr>
          <w:rFonts w:ascii="Times New Roman" w:hAnsi="Times New Roman"/>
          <w:szCs w:val="24"/>
          <w:lang w:val="uk-UA"/>
        </w:rPr>
      </w:r>
    </w:p>
    <w:sectPr>
      <w:footnotePr/>
      <w:endnotePr/>
      <w:type w:val="nextPage"/>
      <w:pgSz w:h="11906" w:orient="landscape" w:w="16838"/>
      <w:pgMar w:top="567" w:right="850" w:bottom="850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3"/>
    <w:link w:val="6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3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3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2">
    <w:name w:val="Heading 1"/>
    <w:basedOn w:val="631"/>
    <w:next w:val="631"/>
    <w:link w:val="636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3" w:default="1">
    <w:name w:val="Default Paragraph Font"/>
    <w:uiPriority w:val="1"/>
    <w:semiHidden/>
    <w:unhideWhenUsed/>
    <w:pPr>
      <w:pBdr/>
      <w:spacing/>
      <w:ind/>
    </w:pPr>
  </w:style>
  <w:style w:type="table" w:styleId="6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5" w:default="1">
    <w:name w:val="No List"/>
    <w:uiPriority w:val="99"/>
    <w:semiHidden/>
    <w:unhideWhenUsed/>
    <w:pPr>
      <w:pBdr/>
      <w:spacing/>
      <w:ind/>
    </w:pPr>
  </w:style>
  <w:style w:type="character" w:styleId="636" w:customStyle="1">
    <w:name w:val="Заголовок 1 Знак"/>
    <w:link w:val="632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7" w:customStyle="1">
    <w:name w:val="Знак Знак Знак Знак"/>
    <w:basedOn w:val="631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8" w:customStyle="1">
    <w:name w:val="Знак Знак Знак Знак2"/>
    <w:basedOn w:val="631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9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640" w:customStyle="1">
    <w:name w:val="Знак Знак Знак Знак1"/>
    <w:basedOn w:val="631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41" w:customStyle="1">
    <w:name w:val="Знак"/>
    <w:basedOn w:val="631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96</cp:revision>
  <dcterms:created xsi:type="dcterms:W3CDTF">2023-01-23T10:19:00Z</dcterms:created>
  <dcterms:modified xsi:type="dcterms:W3CDTF">2026-01-20T10:38:21Z</dcterms:modified>
</cp:coreProperties>
</file>